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7C" w:rsidRPr="007D0A7C" w:rsidRDefault="00D51C7F" w:rsidP="00D51C7F">
      <w:pPr>
        <w:shd w:val="clear" w:color="auto" w:fill="F7F7F7"/>
        <w:spacing w:after="0" w:line="240" w:lineRule="auto"/>
        <w:rPr>
          <w:rFonts w:ascii="Arial" w:eastAsia="Times New Roman" w:hAnsi="Arial" w:cs="Arial"/>
          <w:color w:val="000000"/>
          <w:sz w:val="27"/>
          <w:szCs w:val="27"/>
          <w:lang w:eastAsia="el-GR"/>
        </w:rPr>
      </w:pPr>
      <w:r>
        <w:rPr>
          <w:rFonts w:ascii="Arial" w:eastAsia="Times New Roman" w:hAnsi="Arial" w:cs="Arial"/>
          <w:color w:val="000000"/>
          <w:sz w:val="27"/>
          <w:szCs w:val="27"/>
          <w:lang w:eastAsia="el-GR"/>
        </w:rPr>
        <w:t xml:space="preserve">Ν </w:t>
      </w:r>
      <w:r w:rsidR="007D0A7C" w:rsidRPr="007D0A7C">
        <w:rPr>
          <w:rFonts w:ascii="Arial" w:eastAsia="Times New Roman" w:hAnsi="Arial" w:cs="Arial"/>
          <w:b/>
          <w:bCs/>
          <w:color w:val="000000"/>
          <w:sz w:val="23"/>
          <w:lang w:eastAsia="el-GR"/>
        </w:rPr>
        <w:t>:</w:t>
      </w:r>
      <w:r w:rsidR="007D0A7C" w:rsidRPr="007D0A7C">
        <w:rPr>
          <w:rFonts w:ascii="Arial" w:eastAsia="Times New Roman" w:hAnsi="Arial" w:cs="Arial"/>
          <w:color w:val="000000"/>
          <w:sz w:val="27"/>
          <w:szCs w:val="27"/>
          <w:lang w:eastAsia="el-GR"/>
        </w:rPr>
        <w:t> 5037/23 </w:t>
      </w:r>
      <w:r>
        <w:rPr>
          <w:rFonts w:ascii="Arial" w:eastAsia="Times New Roman" w:hAnsi="Arial" w:cs="Arial"/>
          <w:b/>
          <w:bCs/>
          <w:color w:val="000000"/>
          <w:sz w:val="23"/>
          <w:lang w:eastAsia="el-GR"/>
        </w:rPr>
        <w:t xml:space="preserve"> </w:t>
      </w:r>
      <w:r w:rsidR="007D0A7C" w:rsidRPr="007D0A7C">
        <w:rPr>
          <w:rFonts w:ascii="Arial" w:eastAsia="Times New Roman" w:hAnsi="Arial" w:cs="Arial"/>
          <w:b/>
          <w:bCs/>
          <w:color w:val="000000"/>
          <w:sz w:val="23"/>
          <w:lang w:eastAsia="el-GR"/>
        </w:rPr>
        <w:t>: </w:t>
      </w:r>
      <w:r w:rsidR="007D0A7C" w:rsidRPr="007D0A7C">
        <w:rPr>
          <w:rFonts w:ascii="Arial" w:eastAsia="Times New Roman" w:hAnsi="Arial" w:cs="Arial"/>
          <w:color w:val="000000"/>
          <w:sz w:val="27"/>
          <w:szCs w:val="27"/>
          <w:lang w:eastAsia="el-GR"/>
        </w:rPr>
        <w:t>                                                                                                     </w:t>
      </w:r>
      <w:r w:rsidRPr="007D0A7C">
        <w:rPr>
          <w:rFonts w:ascii="Arial" w:eastAsia="Times New Roman" w:hAnsi="Arial" w:cs="Arial"/>
          <w:color w:val="000000"/>
          <w:sz w:val="27"/>
          <w:szCs w:val="27"/>
          <w:lang w:eastAsia="el-GR"/>
        </w:rPr>
        <w:t xml:space="preserve"> </w:t>
      </w:r>
      <w:r w:rsidR="007D0A7C" w:rsidRPr="007D0A7C">
        <w:rPr>
          <w:rFonts w:ascii="Arial" w:eastAsia="Times New Roman" w:hAnsi="Arial" w:cs="Arial"/>
          <w:color w:val="000000"/>
          <w:sz w:val="27"/>
          <w:szCs w:val="27"/>
          <w:lang w:eastAsia="el-GR"/>
        </w:rPr>
        <w:br/>
      </w:r>
      <w:r w:rsidR="007D0A7C" w:rsidRPr="007D0A7C">
        <w:rPr>
          <w:rFonts w:ascii="Arial" w:eastAsia="Times New Roman" w:hAnsi="Arial" w:cs="Arial"/>
          <w:b/>
          <w:bCs/>
          <w:color w:val="000000"/>
          <w:sz w:val="23"/>
          <w:lang w:eastAsia="el-GR"/>
        </w:rPr>
        <w:t>Έτος: </w:t>
      </w:r>
      <w:r w:rsidR="007D0A7C" w:rsidRPr="007D0A7C">
        <w:rPr>
          <w:rFonts w:ascii="Arial" w:eastAsia="Times New Roman" w:hAnsi="Arial" w:cs="Arial"/>
          <w:color w:val="000000"/>
          <w:sz w:val="27"/>
          <w:szCs w:val="27"/>
          <w:lang w:eastAsia="el-GR"/>
        </w:rPr>
        <w:t>2023 </w:t>
      </w:r>
      <w:r w:rsidR="007D0A7C" w:rsidRPr="007D0A7C">
        <w:rPr>
          <w:rFonts w:ascii="Arial" w:eastAsia="Times New Roman" w:hAnsi="Arial" w:cs="Arial"/>
          <w:b/>
          <w:bCs/>
          <w:color w:val="000000"/>
          <w:sz w:val="23"/>
          <w:lang w:eastAsia="el-GR"/>
        </w:rPr>
        <w:t>ΦΕΚ: </w:t>
      </w:r>
      <w:r w:rsidR="007D0A7C" w:rsidRPr="007D0A7C">
        <w:rPr>
          <w:rFonts w:ascii="Arial" w:eastAsia="Times New Roman" w:hAnsi="Arial" w:cs="Arial"/>
          <w:color w:val="000000"/>
          <w:sz w:val="27"/>
          <w:szCs w:val="27"/>
          <w:lang w:eastAsia="el-GR"/>
        </w:rPr>
        <w:t>Α78 </w:t>
      </w:r>
      <w:r>
        <w:rPr>
          <w:rFonts w:ascii="Arial" w:eastAsia="Times New Roman" w:hAnsi="Arial" w:cs="Arial"/>
          <w:b/>
          <w:bCs/>
          <w:color w:val="000000"/>
          <w:sz w:val="23"/>
          <w:lang w:eastAsia="el-GR"/>
        </w:rPr>
        <w:t xml:space="preserve"> </w:t>
      </w:r>
      <w:r w:rsidR="007D0A7C" w:rsidRPr="007D0A7C">
        <w:rPr>
          <w:rFonts w:ascii="Arial" w:eastAsia="Times New Roman" w:hAnsi="Arial" w:cs="Arial"/>
          <w:b/>
          <w:bCs/>
          <w:color w:val="000000"/>
          <w:sz w:val="27"/>
          <w:szCs w:val="27"/>
          <w:lang w:eastAsia="el-GR"/>
        </w:rPr>
        <w:t>Άρθρο 266</w:t>
      </w:r>
    </w:p>
    <w:p w:rsidR="007D0A7C" w:rsidRPr="007D0A7C" w:rsidRDefault="007D0A7C" w:rsidP="007D0A7C">
      <w:pPr>
        <w:spacing w:before="100" w:beforeAutospacing="1" w:after="0" w:line="255" w:lineRule="atLeast"/>
        <w:rPr>
          <w:rFonts w:ascii="Verdana" w:eastAsia="Times New Roman" w:hAnsi="Verdana" w:cs="Arial"/>
          <w:color w:val="000000"/>
          <w:sz w:val="27"/>
          <w:szCs w:val="27"/>
          <w:lang w:eastAsia="el-GR"/>
        </w:rPr>
      </w:pPr>
      <w:r w:rsidRPr="007D0A7C">
        <w:rPr>
          <w:rFonts w:ascii="Verdana" w:eastAsia="Times New Roman" w:hAnsi="Verdana" w:cs="Arial"/>
          <w:b/>
          <w:bCs/>
          <w:color w:val="000000"/>
          <w:sz w:val="20"/>
          <w:szCs w:val="20"/>
          <w:lang w:eastAsia="el-GR"/>
        </w:rPr>
        <w:t xml:space="preserve">Καθαρισμός χώρων για την αποτροπή κινδύνου πρόκλησης πυρκαγιάς ή ταχείας επέκτασής της - Αντικατάσταση </w:t>
      </w:r>
      <w:proofErr w:type="spellStart"/>
      <w:r w:rsidRPr="007D0A7C">
        <w:rPr>
          <w:rFonts w:ascii="Verdana" w:eastAsia="Times New Roman" w:hAnsi="Verdana" w:cs="Arial"/>
          <w:b/>
          <w:bCs/>
          <w:color w:val="000000"/>
          <w:sz w:val="20"/>
          <w:szCs w:val="20"/>
          <w:lang w:eastAsia="el-GR"/>
        </w:rPr>
        <w:t>υποπερ</w:t>
      </w:r>
      <w:proofErr w:type="spellEnd"/>
      <w:r w:rsidRPr="007D0A7C">
        <w:rPr>
          <w:rFonts w:ascii="Verdana" w:eastAsia="Times New Roman" w:hAnsi="Verdana" w:cs="Arial"/>
          <w:b/>
          <w:bCs/>
          <w:color w:val="000000"/>
          <w:sz w:val="20"/>
          <w:szCs w:val="20"/>
          <w:lang w:eastAsia="el-GR"/>
        </w:rPr>
        <w:t xml:space="preserve">. 26 </w:t>
      </w:r>
      <w:proofErr w:type="spellStart"/>
      <w:r w:rsidRPr="007D0A7C">
        <w:rPr>
          <w:rFonts w:ascii="Verdana" w:eastAsia="Times New Roman" w:hAnsi="Verdana" w:cs="Arial"/>
          <w:b/>
          <w:bCs/>
          <w:color w:val="000000"/>
          <w:sz w:val="20"/>
          <w:szCs w:val="20"/>
          <w:lang w:eastAsia="el-GR"/>
        </w:rPr>
        <w:t>περ</w:t>
      </w:r>
      <w:proofErr w:type="spellEnd"/>
      <w:r w:rsidRPr="007D0A7C">
        <w:rPr>
          <w:rFonts w:ascii="Verdana" w:eastAsia="Times New Roman" w:hAnsi="Verdana" w:cs="Arial"/>
          <w:b/>
          <w:bCs/>
          <w:color w:val="000000"/>
          <w:sz w:val="20"/>
          <w:szCs w:val="20"/>
          <w:lang w:eastAsia="el-GR"/>
        </w:rPr>
        <w:t>. β παρ. Ι άρθρου 75 Κώδικα Δήμων και Κοινοτήτων</w:t>
      </w:r>
    </w:p>
    <w:p w:rsidR="007D0A7C" w:rsidRPr="007D0A7C" w:rsidRDefault="007D0A7C" w:rsidP="007D0A7C">
      <w:pPr>
        <w:spacing w:before="100" w:beforeAutospacing="1" w:after="0" w:line="255" w:lineRule="atLeast"/>
        <w:rPr>
          <w:rFonts w:ascii="Verdana" w:eastAsia="Times New Roman" w:hAnsi="Verdana" w:cs="Arial"/>
          <w:color w:val="000000"/>
          <w:sz w:val="27"/>
          <w:szCs w:val="27"/>
          <w:lang w:eastAsia="el-GR"/>
        </w:rPr>
      </w:pPr>
      <w:r w:rsidRPr="007D0A7C">
        <w:rPr>
          <w:rFonts w:ascii="Verdana" w:eastAsia="Times New Roman" w:hAnsi="Verdana" w:cs="Arial"/>
          <w:color w:val="000000"/>
          <w:sz w:val="20"/>
          <w:szCs w:val="20"/>
          <w:lang w:eastAsia="el-GR"/>
        </w:rPr>
        <w:t xml:space="preserve">Η </w:t>
      </w:r>
      <w:proofErr w:type="spellStart"/>
      <w:r w:rsidRPr="007D0A7C">
        <w:rPr>
          <w:rFonts w:ascii="Verdana" w:eastAsia="Times New Roman" w:hAnsi="Verdana" w:cs="Arial"/>
          <w:color w:val="000000"/>
          <w:sz w:val="20"/>
          <w:szCs w:val="20"/>
          <w:lang w:eastAsia="el-GR"/>
        </w:rPr>
        <w:t>υποπερ</w:t>
      </w:r>
      <w:proofErr w:type="spellEnd"/>
      <w:r w:rsidRPr="007D0A7C">
        <w:rPr>
          <w:rFonts w:ascii="Verdana" w:eastAsia="Times New Roman" w:hAnsi="Verdana" w:cs="Arial"/>
          <w:color w:val="000000"/>
          <w:sz w:val="20"/>
          <w:szCs w:val="20"/>
          <w:lang w:eastAsia="el-GR"/>
        </w:rPr>
        <w:t xml:space="preserve">. 26 της </w:t>
      </w:r>
      <w:proofErr w:type="spellStart"/>
      <w:r w:rsidRPr="007D0A7C">
        <w:rPr>
          <w:rFonts w:ascii="Verdana" w:eastAsia="Times New Roman" w:hAnsi="Verdana" w:cs="Arial"/>
          <w:color w:val="000000"/>
          <w:sz w:val="20"/>
          <w:szCs w:val="20"/>
          <w:lang w:eastAsia="el-GR"/>
        </w:rPr>
        <w:t>περ</w:t>
      </w:r>
      <w:proofErr w:type="spellEnd"/>
      <w:r w:rsidRPr="007D0A7C">
        <w:rPr>
          <w:rFonts w:ascii="Verdana" w:eastAsia="Times New Roman" w:hAnsi="Verdana" w:cs="Arial"/>
          <w:color w:val="000000"/>
          <w:sz w:val="20"/>
          <w:szCs w:val="20"/>
          <w:lang w:eastAsia="el-GR"/>
        </w:rPr>
        <w:t>. β’ της παρ. Ι του άρθρου 75 του Κώδικα Δήμων και Κοινοτήτων (</w:t>
      </w:r>
      <w:hyperlink r:id="rId4" w:tgtFrame="_blank" w:history="1">
        <w:r w:rsidRPr="007D0A7C">
          <w:rPr>
            <w:rFonts w:ascii="Verdana" w:eastAsia="Times New Roman" w:hAnsi="Verdana" w:cs="Arial"/>
            <w:color w:val="0000FF"/>
            <w:sz w:val="20"/>
            <w:u w:val="single"/>
            <w:lang w:eastAsia="el-GR"/>
          </w:rPr>
          <w:t>ν. 3463/2006</w:t>
        </w:r>
      </w:hyperlink>
      <w:r w:rsidRPr="007D0A7C">
        <w:rPr>
          <w:rFonts w:ascii="Verdana" w:eastAsia="Times New Roman" w:hAnsi="Verdana" w:cs="Arial"/>
          <w:color w:val="000000"/>
          <w:sz w:val="20"/>
          <w:szCs w:val="20"/>
          <w:lang w:eastAsia="el-GR"/>
        </w:rPr>
        <w:t>, Α’ 114), περί αρμοδιοτήτων των δήμων στον τομέα του περιβάλλοντος, αντικαθίσταται ως εξής:</w:t>
      </w:r>
    </w:p>
    <w:p w:rsidR="007D0A7C" w:rsidRPr="007D0A7C" w:rsidRDefault="007D0A7C" w:rsidP="007D0A7C">
      <w:pPr>
        <w:spacing w:before="100" w:beforeAutospacing="1" w:after="0" w:line="255" w:lineRule="atLeast"/>
        <w:rPr>
          <w:rFonts w:ascii="Verdana" w:eastAsia="Times New Roman" w:hAnsi="Verdana" w:cs="Arial"/>
          <w:color w:val="000000"/>
          <w:sz w:val="27"/>
          <w:szCs w:val="27"/>
          <w:lang w:eastAsia="el-GR"/>
        </w:rPr>
      </w:pPr>
      <w:r w:rsidRPr="007D0A7C">
        <w:rPr>
          <w:rFonts w:ascii="Verdana" w:eastAsia="Times New Roman" w:hAnsi="Verdana" w:cs="Arial"/>
          <w:color w:val="000000"/>
          <w:sz w:val="20"/>
          <w:szCs w:val="20"/>
          <w:lang w:eastAsia="el-GR"/>
        </w:rPr>
        <w:t xml:space="preserve">«26. Η μέριμνα για την εκπλήρωση της υποχρέωσης καθαρισμού των ιδιοκτητών, νομέων, επικαρπωτών, μισθωτών και υπομισθωτών, από την 1η έως την 30ή Απριλίου εκάστου έτους, καθώς και της υποχρέωσης συντήρησης καθ’ όλη τη διάρκεια της αντιπυρικής περιόδου, ήτοι από την 1η Μαΐου έως την 31η Οκτωβρίου εκάστου έτους, για την αποτροπή κινδύνου πρόκλησης πυρκαγιάς ή ταχείας επέκτασής της, επί </w:t>
      </w:r>
      <w:proofErr w:type="spellStart"/>
      <w:r w:rsidRPr="007D0A7C">
        <w:rPr>
          <w:rFonts w:ascii="Verdana" w:eastAsia="Times New Roman" w:hAnsi="Verdana" w:cs="Arial"/>
          <w:color w:val="000000"/>
          <w:sz w:val="20"/>
          <w:szCs w:val="20"/>
          <w:lang w:eastAsia="el-GR"/>
        </w:rPr>
        <w:t>οικοπεδικών</w:t>
      </w:r>
      <w:proofErr w:type="spellEnd"/>
      <w:r w:rsidRPr="007D0A7C">
        <w:rPr>
          <w:rFonts w:ascii="Verdana" w:eastAsia="Times New Roman" w:hAnsi="Verdana" w:cs="Arial"/>
          <w:color w:val="000000"/>
          <w:sz w:val="20"/>
          <w:szCs w:val="20"/>
          <w:lang w:eastAsia="el-GR"/>
        </w:rPr>
        <w:t xml:space="preserve"> και λοιπών ακάλυπτων χώρων σε περιοχές εντός εγκεκριμένων ρυμοτομικών σχεδίων και εντός ορίων οικισμών χωρίς εγκεκριμένο ρυμοτομικό σχέδιο, επί εκτάσεων που βρίσκονται εντός ακτίνας εκατό μέτρων (100 μ.), από τα όρια των ανωτέρω περιοχών, καθώς και επί εκτός σχεδίου γηπέδων με κτίσμα. Η ως άνω μέριμνα, περιλαμβάνει ιδίως την ενημέρωση των υπόχρεων από τον οικείο δήμο, έως την 31η Μαρτίου εκάστου έτους, με κάθε πρόσφορο μέσο για το περιεχόμενο της υποχρέωσης καθαρισμού, την εξέταση σχετικών καταγγελιών, την αυτεπάγγελτη αυτοψία και την επιβολή προστίμου κατά την παρούσα.</w:t>
      </w:r>
    </w:p>
    <w:p w:rsidR="007D0A7C" w:rsidRPr="007D0A7C" w:rsidRDefault="007D0A7C" w:rsidP="007D0A7C">
      <w:pPr>
        <w:spacing w:before="100" w:beforeAutospacing="1" w:after="0" w:line="255" w:lineRule="atLeast"/>
        <w:rPr>
          <w:rFonts w:ascii="Verdana" w:eastAsia="Times New Roman" w:hAnsi="Verdana" w:cs="Arial"/>
          <w:color w:val="000000"/>
          <w:sz w:val="27"/>
          <w:szCs w:val="27"/>
          <w:lang w:eastAsia="el-GR"/>
        </w:rPr>
      </w:pPr>
      <w:r w:rsidRPr="007D0A7C">
        <w:rPr>
          <w:rFonts w:ascii="Verdana" w:eastAsia="Times New Roman" w:hAnsi="Verdana" w:cs="Arial"/>
          <w:color w:val="000000"/>
          <w:sz w:val="20"/>
          <w:szCs w:val="20"/>
          <w:lang w:eastAsia="el-GR"/>
        </w:rPr>
        <w:t>Ο οικείος δήμος, καθ’ όλη τη διάρκεια της αντιπυρικής περιόδου, μεριμνά για τη διενέργεια αυτοψίας. Αν οι υπόχρεοι προς καθαρισμό δεν συμμορφωθούν, ο δήμος επιβάλλει πρόστιμο πενήντα (50) λεπτών του ευρώ ανά τετραγωνικό μέτρο, με ελάχιστο ποσό τα διακόσια (200) ευρώ. Κατά του προστίμου ο ενδιαφερόμενος δύναται να υποβάλει ένσταση στον δήμο εντός αποκλειστικής προθεσμίας δέκα (10) ημερών. Εάν αυτή δεν γίνει αποδεκτή, εντός προθεσμίας πέντε (5) ημερών ο δήμος προβαίνει σε αυτεπάγγελτο καθαρισμό των χώρων αυτών, κατά προτεραιότητα, βάσει του κινδύνου πρόκλησης ή ταχείας επέκτασης πυρκαγιάς. Ειδικά για περιφραγμένους ή επαρκώς περιτοιχισμένους χώρους του πρώτου εδαφίου και σε περίπτωση μη συμμόρφωσης των υπόχρεων για καθαρισμό τους, ο οικείος δήμος, ταυτόχρονα με την επιβολή του προστίμου, αιτείται προς την κατά τόπο αρμόδια Πυροσβεστική Υπηρεσία τη διενέργεια αυτοψίας για τη βεβαίωση συνδρομής υψηλού κινδύνου πρόκλησης ή ταχείας επέκτασης πυρκαγιάς, και βάσει αυτής, προβαίνει σε αυτεπάγγελτο καθαρισμό των ως άνω χώρων για την άρση του κινδύνου. Αν δεν βρεθούν τα στοιχεία των υπόχρεων, ακολουθείται η διαδικασία των προηγούμενων εδαφίων, εξαιρουμένης της διαδικασίας επιβολής προστίμου. Σε επείγουσες περιπτώσεις άμεσου και ιδιαίτερα υψηλού κινδύνου πρόκλησης ή επέκτασης πυρκαγιάς, ο οποίος διαπιστώνεται με σχετικό έγγραφο της οικείας Πυροσβεστικής Υπηρεσίας, επιτρέπεται, κατά παρέκκλιση της διαδικασίας των προηγούμενων εδαφίων, ο επείγων αυτεπάγγελτος καθαρισμός για την άμεση άρση του κινδύνου. Σε κάθε περίπτωση αυτεπάγγελτου καθαρισμού, καταλογίζεται εξ ολοκλήρου στους υπόχρεους, από τον οικείο δήμο, η δαπάνη καθαρισμού του χώρου και απομάκρυνσης των υλικών. Η δαπάνη και το πρόστιμο αποτελούν έσοδα του οικείου δήμου και εισπράττονται σύμφωνα με τις κείμενες διατάξεις.</w:t>
      </w:r>
    </w:p>
    <w:p w:rsidR="007D0A7C" w:rsidRPr="007D0A7C" w:rsidRDefault="007D0A7C" w:rsidP="007D0A7C">
      <w:pPr>
        <w:spacing w:before="100" w:beforeAutospacing="1" w:after="0" w:line="255" w:lineRule="atLeast"/>
        <w:rPr>
          <w:rFonts w:ascii="Verdana" w:eastAsia="Times New Roman" w:hAnsi="Verdana" w:cs="Arial"/>
          <w:color w:val="000000"/>
          <w:sz w:val="27"/>
          <w:szCs w:val="27"/>
          <w:lang w:eastAsia="el-GR"/>
        </w:rPr>
      </w:pPr>
      <w:r w:rsidRPr="007D0A7C">
        <w:rPr>
          <w:rFonts w:ascii="Verdana" w:eastAsia="Times New Roman" w:hAnsi="Verdana" w:cs="Arial"/>
          <w:color w:val="000000"/>
          <w:sz w:val="20"/>
          <w:szCs w:val="20"/>
          <w:lang w:eastAsia="el-GR"/>
        </w:rPr>
        <w:t>Ειδικότερα θέματα σχετικά με τη διαδικασία εφαρμογής των ανωτέρω και κάθε άλλη αναγκαία λεπτομέρεια καθορίζονται με πυροσβεστική διάταξη σύμφωνα με το άρθρο </w:t>
      </w:r>
      <w:hyperlink r:id="rId5" w:tgtFrame="_blank" w:history="1">
        <w:r w:rsidRPr="007D0A7C">
          <w:rPr>
            <w:rFonts w:ascii="Verdana" w:eastAsia="Times New Roman" w:hAnsi="Verdana" w:cs="Arial"/>
            <w:color w:val="0000FF"/>
            <w:sz w:val="20"/>
            <w:u w:val="single"/>
            <w:lang w:eastAsia="el-GR"/>
          </w:rPr>
          <w:t>167</w:t>
        </w:r>
      </w:hyperlink>
      <w:r w:rsidRPr="007D0A7C">
        <w:rPr>
          <w:rFonts w:ascii="Verdana" w:eastAsia="Times New Roman" w:hAnsi="Verdana" w:cs="Arial"/>
          <w:color w:val="000000"/>
          <w:sz w:val="20"/>
          <w:szCs w:val="20"/>
          <w:lang w:eastAsia="el-GR"/>
        </w:rPr>
        <w:t> </w:t>
      </w:r>
      <w:hyperlink r:id="rId6" w:tgtFrame="_blank" w:history="1">
        <w:r w:rsidRPr="007D0A7C">
          <w:rPr>
            <w:rFonts w:ascii="Verdana" w:eastAsia="Times New Roman" w:hAnsi="Verdana" w:cs="Arial"/>
            <w:color w:val="0000FF"/>
            <w:sz w:val="20"/>
            <w:u w:val="single"/>
            <w:lang w:eastAsia="el-GR"/>
          </w:rPr>
          <w:t>του ν. 4662/2020</w:t>
        </w:r>
      </w:hyperlink>
      <w:r w:rsidRPr="007D0A7C">
        <w:rPr>
          <w:rFonts w:ascii="Verdana" w:eastAsia="Times New Roman" w:hAnsi="Verdana" w:cs="Arial"/>
          <w:color w:val="000000"/>
          <w:sz w:val="20"/>
          <w:szCs w:val="20"/>
          <w:lang w:eastAsia="el-GR"/>
        </w:rPr>
        <w:t xml:space="preserve"> (Α’ 27). Με την παρούσα δεν θίγεται το από 13/22.4.1929 </w:t>
      </w:r>
      <w:proofErr w:type="spellStart"/>
      <w:r w:rsidRPr="007D0A7C">
        <w:rPr>
          <w:rFonts w:ascii="Verdana" w:eastAsia="Times New Roman" w:hAnsi="Verdana" w:cs="Arial"/>
          <w:color w:val="000000"/>
          <w:sz w:val="20"/>
          <w:szCs w:val="20"/>
          <w:lang w:eastAsia="el-GR"/>
        </w:rPr>
        <w:t>π.δ</w:t>
      </w:r>
      <w:proofErr w:type="spellEnd"/>
      <w:r w:rsidRPr="007D0A7C">
        <w:rPr>
          <w:rFonts w:ascii="Verdana" w:eastAsia="Times New Roman" w:hAnsi="Verdana" w:cs="Arial"/>
          <w:color w:val="000000"/>
          <w:sz w:val="20"/>
          <w:szCs w:val="20"/>
          <w:lang w:eastAsia="el-GR"/>
        </w:rPr>
        <w:t>. (Α’ 153).»</w:t>
      </w:r>
    </w:p>
    <w:p w:rsidR="00D64D0D" w:rsidRDefault="00D64D0D"/>
    <w:sectPr w:rsidR="00D64D0D" w:rsidSect="00AA0537">
      <w:type w:val="continuous"/>
      <w:pgSz w:w="11907" w:h="16839"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00"/>
  <w:displayHorizontalDrawingGridEvery w:val="2"/>
  <w:displayVerticalDrawingGridEvery w:val="2"/>
  <w:characterSpacingControl w:val="doNotCompress"/>
  <w:compat/>
  <w:rsids>
    <w:rsidRoot w:val="007D0A7C"/>
    <w:rsid w:val="000224D9"/>
    <w:rsid w:val="00025ACF"/>
    <w:rsid w:val="0003087B"/>
    <w:rsid w:val="00061234"/>
    <w:rsid w:val="00075ACA"/>
    <w:rsid w:val="00092916"/>
    <w:rsid w:val="000B47E8"/>
    <w:rsid w:val="000B6A5F"/>
    <w:rsid w:val="000D6252"/>
    <w:rsid w:val="000F6795"/>
    <w:rsid w:val="001254C9"/>
    <w:rsid w:val="0013761E"/>
    <w:rsid w:val="00152B35"/>
    <w:rsid w:val="00155D8F"/>
    <w:rsid w:val="00157CB4"/>
    <w:rsid w:val="00163261"/>
    <w:rsid w:val="0016647F"/>
    <w:rsid w:val="00171E86"/>
    <w:rsid w:val="001762BD"/>
    <w:rsid w:val="00182961"/>
    <w:rsid w:val="00192549"/>
    <w:rsid w:val="00192F68"/>
    <w:rsid w:val="001A1F4C"/>
    <w:rsid w:val="001C35B8"/>
    <w:rsid w:val="002543B4"/>
    <w:rsid w:val="00256579"/>
    <w:rsid w:val="00260B7D"/>
    <w:rsid w:val="002628B1"/>
    <w:rsid w:val="002939D4"/>
    <w:rsid w:val="002E01AE"/>
    <w:rsid w:val="002E60AA"/>
    <w:rsid w:val="002F4F3D"/>
    <w:rsid w:val="003001B8"/>
    <w:rsid w:val="00300402"/>
    <w:rsid w:val="00311CBD"/>
    <w:rsid w:val="00320DB9"/>
    <w:rsid w:val="003232C1"/>
    <w:rsid w:val="00326A2F"/>
    <w:rsid w:val="003342CD"/>
    <w:rsid w:val="00347BBA"/>
    <w:rsid w:val="00351271"/>
    <w:rsid w:val="00375D95"/>
    <w:rsid w:val="00382719"/>
    <w:rsid w:val="00390BA0"/>
    <w:rsid w:val="00396EEF"/>
    <w:rsid w:val="003A76C1"/>
    <w:rsid w:val="003B1427"/>
    <w:rsid w:val="003C01EF"/>
    <w:rsid w:val="003D2227"/>
    <w:rsid w:val="0041140E"/>
    <w:rsid w:val="00414121"/>
    <w:rsid w:val="00422925"/>
    <w:rsid w:val="00426839"/>
    <w:rsid w:val="00477838"/>
    <w:rsid w:val="00490A9F"/>
    <w:rsid w:val="004A4CE4"/>
    <w:rsid w:val="004B4CBC"/>
    <w:rsid w:val="004C4084"/>
    <w:rsid w:val="004D3DFB"/>
    <w:rsid w:val="00506CB0"/>
    <w:rsid w:val="0051078C"/>
    <w:rsid w:val="00511708"/>
    <w:rsid w:val="00533EC3"/>
    <w:rsid w:val="00534AD4"/>
    <w:rsid w:val="00542B50"/>
    <w:rsid w:val="0057144B"/>
    <w:rsid w:val="00583D94"/>
    <w:rsid w:val="005842D4"/>
    <w:rsid w:val="005858E6"/>
    <w:rsid w:val="005D594F"/>
    <w:rsid w:val="005F7BB1"/>
    <w:rsid w:val="00604D2A"/>
    <w:rsid w:val="006359AD"/>
    <w:rsid w:val="006430FF"/>
    <w:rsid w:val="00652EE4"/>
    <w:rsid w:val="006B5914"/>
    <w:rsid w:val="006E2D7A"/>
    <w:rsid w:val="006F1DF2"/>
    <w:rsid w:val="006F5C5F"/>
    <w:rsid w:val="00701876"/>
    <w:rsid w:val="0071042C"/>
    <w:rsid w:val="00714AFD"/>
    <w:rsid w:val="00723713"/>
    <w:rsid w:val="007364BA"/>
    <w:rsid w:val="00741A89"/>
    <w:rsid w:val="007466D1"/>
    <w:rsid w:val="00763C14"/>
    <w:rsid w:val="007660D9"/>
    <w:rsid w:val="00781282"/>
    <w:rsid w:val="007B5BC4"/>
    <w:rsid w:val="007D0A7C"/>
    <w:rsid w:val="007E0CD1"/>
    <w:rsid w:val="007E24F7"/>
    <w:rsid w:val="008121AA"/>
    <w:rsid w:val="00845B27"/>
    <w:rsid w:val="00850EE0"/>
    <w:rsid w:val="0086466C"/>
    <w:rsid w:val="008E4C05"/>
    <w:rsid w:val="008E51DE"/>
    <w:rsid w:val="008F4FFE"/>
    <w:rsid w:val="00905B1C"/>
    <w:rsid w:val="00923E65"/>
    <w:rsid w:val="00944748"/>
    <w:rsid w:val="00994493"/>
    <w:rsid w:val="009A3DDB"/>
    <w:rsid w:val="009A4E5A"/>
    <w:rsid w:val="009B26F8"/>
    <w:rsid w:val="009D061E"/>
    <w:rsid w:val="00A3536A"/>
    <w:rsid w:val="00A37589"/>
    <w:rsid w:val="00A84590"/>
    <w:rsid w:val="00A85578"/>
    <w:rsid w:val="00AA0537"/>
    <w:rsid w:val="00AA5BAC"/>
    <w:rsid w:val="00AD02FC"/>
    <w:rsid w:val="00B034F1"/>
    <w:rsid w:val="00B03E68"/>
    <w:rsid w:val="00B05C37"/>
    <w:rsid w:val="00B1061D"/>
    <w:rsid w:val="00B22C2A"/>
    <w:rsid w:val="00B408A5"/>
    <w:rsid w:val="00B52061"/>
    <w:rsid w:val="00B60220"/>
    <w:rsid w:val="00B6077B"/>
    <w:rsid w:val="00B75C05"/>
    <w:rsid w:val="00B76470"/>
    <w:rsid w:val="00BA0679"/>
    <w:rsid w:val="00BB51AB"/>
    <w:rsid w:val="00BC21EB"/>
    <w:rsid w:val="00BC443A"/>
    <w:rsid w:val="00BD1CD9"/>
    <w:rsid w:val="00BD4B10"/>
    <w:rsid w:val="00C01D63"/>
    <w:rsid w:val="00C16E64"/>
    <w:rsid w:val="00C24D91"/>
    <w:rsid w:val="00C349C9"/>
    <w:rsid w:val="00C36D4D"/>
    <w:rsid w:val="00C625C8"/>
    <w:rsid w:val="00CB067D"/>
    <w:rsid w:val="00CB35AD"/>
    <w:rsid w:val="00CC0927"/>
    <w:rsid w:val="00D30D7B"/>
    <w:rsid w:val="00D33D1E"/>
    <w:rsid w:val="00D443FA"/>
    <w:rsid w:val="00D51C7F"/>
    <w:rsid w:val="00D64D0D"/>
    <w:rsid w:val="00D70CD4"/>
    <w:rsid w:val="00D73824"/>
    <w:rsid w:val="00D77330"/>
    <w:rsid w:val="00D97775"/>
    <w:rsid w:val="00DA7BA0"/>
    <w:rsid w:val="00DF776D"/>
    <w:rsid w:val="00E007BF"/>
    <w:rsid w:val="00E106FF"/>
    <w:rsid w:val="00E3045A"/>
    <w:rsid w:val="00E41BFF"/>
    <w:rsid w:val="00E54162"/>
    <w:rsid w:val="00E5435A"/>
    <w:rsid w:val="00E61AE5"/>
    <w:rsid w:val="00E63A87"/>
    <w:rsid w:val="00E73568"/>
    <w:rsid w:val="00E83AB4"/>
    <w:rsid w:val="00E92FD3"/>
    <w:rsid w:val="00EA01D1"/>
    <w:rsid w:val="00EA151D"/>
    <w:rsid w:val="00EA180A"/>
    <w:rsid w:val="00EA42C9"/>
    <w:rsid w:val="00EA599D"/>
    <w:rsid w:val="00EB28B8"/>
    <w:rsid w:val="00EB3D42"/>
    <w:rsid w:val="00ED5004"/>
    <w:rsid w:val="00EE6AF3"/>
    <w:rsid w:val="00F01186"/>
    <w:rsid w:val="00F10B48"/>
    <w:rsid w:val="00F12C3A"/>
    <w:rsid w:val="00F13653"/>
    <w:rsid w:val="00F2324C"/>
    <w:rsid w:val="00F30D21"/>
    <w:rsid w:val="00F46718"/>
    <w:rsid w:val="00F54F79"/>
    <w:rsid w:val="00F562C8"/>
    <w:rsid w:val="00F6596D"/>
    <w:rsid w:val="00F66C6F"/>
    <w:rsid w:val="00F95604"/>
    <w:rsid w:val="00FA0BA6"/>
    <w:rsid w:val="00FE29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
    <w:name w:val="label"/>
    <w:basedOn w:val="a0"/>
    <w:rsid w:val="007D0A7C"/>
  </w:style>
  <w:style w:type="character" w:styleId="-">
    <w:name w:val="Hyperlink"/>
    <w:basedOn w:val="a0"/>
    <w:uiPriority w:val="99"/>
    <w:semiHidden/>
    <w:unhideWhenUsed/>
    <w:rsid w:val="007D0A7C"/>
    <w:rPr>
      <w:color w:val="0000FF"/>
      <w:u w:val="single"/>
    </w:rPr>
  </w:style>
  <w:style w:type="paragraph" w:customStyle="1" w:styleId="western">
    <w:name w:val="western"/>
    <w:basedOn w:val="a"/>
    <w:rsid w:val="007D0A7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66554336">
      <w:bodyDiv w:val="1"/>
      <w:marLeft w:val="0"/>
      <w:marRight w:val="0"/>
      <w:marTop w:val="0"/>
      <w:marBottom w:val="0"/>
      <w:divBdr>
        <w:top w:val="none" w:sz="0" w:space="0" w:color="auto"/>
        <w:left w:val="none" w:sz="0" w:space="0" w:color="auto"/>
        <w:bottom w:val="none" w:sz="0" w:space="0" w:color="auto"/>
        <w:right w:val="none" w:sz="0" w:space="0" w:color="auto"/>
      </w:divBdr>
      <w:divsChild>
        <w:div w:id="605623241">
          <w:marLeft w:val="0"/>
          <w:marRight w:val="0"/>
          <w:marTop w:val="0"/>
          <w:marBottom w:val="0"/>
          <w:divBdr>
            <w:top w:val="none" w:sz="0" w:space="0" w:color="auto"/>
            <w:left w:val="none" w:sz="0" w:space="0" w:color="auto"/>
            <w:bottom w:val="none" w:sz="0" w:space="0" w:color="auto"/>
            <w:right w:val="none" w:sz="0" w:space="0" w:color="auto"/>
          </w:divBdr>
          <w:divsChild>
            <w:div w:id="84494048">
              <w:marLeft w:val="0"/>
              <w:marRight w:val="0"/>
              <w:marTop w:val="0"/>
              <w:marBottom w:val="0"/>
              <w:divBdr>
                <w:top w:val="none" w:sz="0" w:space="0" w:color="auto"/>
                <w:left w:val="none" w:sz="0" w:space="0" w:color="auto"/>
                <w:bottom w:val="none" w:sz="0" w:space="0" w:color="auto"/>
                <w:right w:val="none" w:sz="0" w:space="0" w:color="auto"/>
              </w:divBdr>
              <w:divsChild>
                <w:div w:id="5813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5820">
          <w:marLeft w:val="150"/>
          <w:marRight w:val="150"/>
          <w:marTop w:val="150"/>
          <w:marBottom w:val="0"/>
          <w:divBdr>
            <w:top w:val="single" w:sz="6" w:space="8" w:color="auto"/>
            <w:left w:val="single" w:sz="6" w:space="8" w:color="auto"/>
            <w:bottom w:val="single" w:sz="6" w:space="8" w:color="auto"/>
            <w:right w:val="single" w:sz="6" w:space="8" w:color="auto"/>
          </w:divBdr>
          <w:divsChild>
            <w:div w:id="380713632">
              <w:marLeft w:val="0"/>
              <w:marRight w:val="0"/>
              <w:marTop w:val="0"/>
              <w:marBottom w:val="0"/>
              <w:divBdr>
                <w:top w:val="none" w:sz="0" w:space="0" w:color="auto"/>
                <w:left w:val="none" w:sz="0" w:space="0" w:color="auto"/>
                <w:bottom w:val="none" w:sz="0" w:space="0" w:color="auto"/>
                <w:right w:val="none" w:sz="0" w:space="0" w:color="auto"/>
              </w:divBdr>
            </w:div>
            <w:div w:id="322858387">
              <w:marLeft w:val="0"/>
              <w:marRight w:val="0"/>
              <w:marTop w:val="0"/>
              <w:marBottom w:val="0"/>
              <w:divBdr>
                <w:top w:val="none" w:sz="0" w:space="0" w:color="auto"/>
                <w:left w:val="none" w:sz="0" w:space="0" w:color="auto"/>
                <w:bottom w:val="none" w:sz="0" w:space="0" w:color="auto"/>
                <w:right w:val="none" w:sz="0" w:space="0" w:color="auto"/>
              </w:divBdr>
            </w:div>
          </w:divsChild>
        </w:div>
        <w:div w:id="416708944">
          <w:marLeft w:val="0"/>
          <w:marRight w:val="0"/>
          <w:marTop w:val="0"/>
          <w:marBottom w:val="0"/>
          <w:divBdr>
            <w:top w:val="none" w:sz="0" w:space="0" w:color="auto"/>
            <w:left w:val="none" w:sz="0" w:space="0" w:color="auto"/>
            <w:bottom w:val="none" w:sz="0" w:space="0" w:color="auto"/>
            <w:right w:val="none" w:sz="0" w:space="0" w:color="auto"/>
          </w:divBdr>
          <w:divsChild>
            <w:div w:id="1384674933">
              <w:marLeft w:val="0"/>
              <w:marRight w:val="0"/>
              <w:marTop w:val="0"/>
              <w:marBottom w:val="0"/>
              <w:divBdr>
                <w:top w:val="none" w:sz="0" w:space="0" w:color="auto"/>
                <w:left w:val="none" w:sz="0" w:space="0" w:color="auto"/>
                <w:bottom w:val="none" w:sz="0" w:space="0" w:color="auto"/>
                <w:right w:val="none" w:sz="0" w:space="0" w:color="auto"/>
              </w:divBdr>
              <w:divsChild>
                <w:div w:id="1805613367">
                  <w:marLeft w:val="0"/>
                  <w:marRight w:val="0"/>
                  <w:marTop w:val="0"/>
                  <w:marBottom w:val="0"/>
                  <w:divBdr>
                    <w:top w:val="none" w:sz="0" w:space="0" w:color="auto"/>
                    <w:left w:val="none" w:sz="0" w:space="0" w:color="auto"/>
                    <w:bottom w:val="none" w:sz="0" w:space="0" w:color="auto"/>
                    <w:right w:val="none" w:sz="0" w:space="0" w:color="auto"/>
                  </w:divBdr>
                  <w:divsChild>
                    <w:div w:id="2132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motelia.gr/nservice22/document?documentId=1149115" TargetMode="External"/><Relationship Id="rId5" Type="http://schemas.openxmlformats.org/officeDocument/2006/relationships/hyperlink" Target="https://nomotelia.gr/nservice22/document?documentId=1149115&amp;partId=1830200" TargetMode="External"/><Relationship Id="rId4" Type="http://schemas.openxmlformats.org/officeDocument/2006/relationships/hyperlink" Target="https://nomotelia.gr/nservice22/document?documentId=42767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3203</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dc:creator>
  <cp:lastModifiedBy>PC -1</cp:lastModifiedBy>
  <cp:revision>2</cp:revision>
  <dcterms:created xsi:type="dcterms:W3CDTF">2024-04-02T11:37:00Z</dcterms:created>
  <dcterms:modified xsi:type="dcterms:W3CDTF">2024-04-02T11:37:00Z</dcterms:modified>
</cp:coreProperties>
</file>